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B3530" w14:textId="49EADEFB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CONDITIONS GÉNÉRALES DE VENTE</w:t>
      </w:r>
      <w:r w:rsidR="00182AC3">
        <w:rPr>
          <w:b/>
          <w:bCs/>
        </w:rPr>
        <w:t xml:space="preserve"> </w:t>
      </w:r>
    </w:p>
    <w:p w14:paraId="5C744C46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Atelier « Mauvaise Graine »</w:t>
      </w:r>
    </w:p>
    <w:p w14:paraId="156DDB9F" w14:textId="7B979DEC" w:rsidR="00E32E78" w:rsidRPr="00E32E78" w:rsidRDefault="00E32E78" w:rsidP="00E32E78">
      <w:r w:rsidRPr="00E32E78">
        <w:rPr>
          <w:b/>
          <w:bCs/>
        </w:rPr>
        <w:t xml:space="preserve">FLEUR SERVICE SOCIAL </w:t>
      </w:r>
      <w:r w:rsidR="00097329">
        <w:rPr>
          <w:b/>
          <w:bCs/>
        </w:rPr>
        <w:t>ASBL</w:t>
      </w:r>
      <w:r w:rsidRPr="00E32E78">
        <w:br/>
        <w:t xml:space="preserve">Forme juridique : </w:t>
      </w:r>
      <w:r w:rsidR="00097329">
        <w:t>ASBL</w:t>
      </w:r>
      <w:r w:rsidRPr="00E32E78">
        <w:br/>
        <w:t xml:space="preserve">Numéro d’entreprise : </w:t>
      </w:r>
      <w:r w:rsidR="002C0ADB">
        <w:t>0420.270.514</w:t>
      </w:r>
      <w:r w:rsidRPr="00E32E78">
        <w:br/>
        <w:t xml:space="preserve">Siège social : </w:t>
      </w:r>
      <w:r w:rsidR="002C0ADB">
        <w:t xml:space="preserve">rue </w:t>
      </w:r>
      <w:proofErr w:type="spellStart"/>
      <w:r w:rsidR="002C0ADB">
        <w:t>Defrêcheux</w:t>
      </w:r>
      <w:proofErr w:type="spellEnd"/>
      <w:r w:rsidR="002C0ADB">
        <w:t>, 36 à 4000 Liège</w:t>
      </w:r>
      <w:r w:rsidRPr="00E32E78">
        <w:br/>
        <w:t xml:space="preserve">Email : </w:t>
      </w:r>
      <w:hyperlink r:id="rId8" w:history="1">
        <w:r w:rsidR="002C0ADB" w:rsidRPr="001911FB">
          <w:rPr>
            <w:rStyle w:val="Lienhypertexte"/>
          </w:rPr>
          <w:t>info@fleurservicesocial.be</w:t>
        </w:r>
      </w:hyperlink>
      <w:r w:rsidR="002C0ADB">
        <w:br/>
      </w:r>
      <w:r w:rsidRPr="00E32E78">
        <w:t xml:space="preserve">Téléphone : </w:t>
      </w:r>
      <w:r w:rsidR="002C0ADB">
        <w:t>04/227.47.98</w:t>
      </w:r>
    </w:p>
    <w:p w14:paraId="328F3110" w14:textId="1E0201FA" w:rsidR="00E32E78" w:rsidRPr="00E32E78" w:rsidRDefault="00E32E78" w:rsidP="00E32E78">
      <w:r w:rsidRPr="00E32E78">
        <w:t xml:space="preserve">Ci-après dénommée « le </w:t>
      </w:r>
      <w:r w:rsidR="002C0ADB">
        <w:t>Prestataire</w:t>
      </w:r>
      <w:r w:rsidRPr="00E32E78">
        <w:t xml:space="preserve"> » ou « l’Atelier ».</w:t>
      </w:r>
    </w:p>
    <w:p w14:paraId="3A5A0589" w14:textId="77777777" w:rsidR="00E32E78" w:rsidRPr="00E32E78" w:rsidRDefault="00097329" w:rsidP="00E32E78">
      <w:r>
        <w:pict w14:anchorId="1FD98DAF">
          <v:rect id="_x0000_i1025" style="width:0;height:1.5pt" o:hralign="center" o:hrstd="t" o:hr="t" fillcolor="#a0a0a0" stroked="f"/>
        </w:pict>
      </w:r>
    </w:p>
    <w:p w14:paraId="2A9320A1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 – Objet et champ d’application</w:t>
      </w:r>
    </w:p>
    <w:p w14:paraId="69577B61" w14:textId="0151807B" w:rsidR="00E32E78" w:rsidRPr="00E32E78" w:rsidRDefault="00E32E78" w:rsidP="00E32E78">
      <w:r w:rsidRPr="00E32E78">
        <w:t xml:space="preserve">Les présentes Conditions Générales de Vente (CGV) régissent l’ensemble des prestations de rénovation, restauration, transformation et valorisation de meubles et objets mobiliers confiés à l’atelier « Mauvaise Graine » par des </w:t>
      </w:r>
      <w:r w:rsidR="002C0ADB">
        <w:t>Client</w:t>
      </w:r>
      <w:r w:rsidRPr="00E32E78">
        <w:t>s particuliers (B2C) ou professionnels (B2B).</w:t>
      </w:r>
    </w:p>
    <w:p w14:paraId="5C252F99" w14:textId="48EEB070" w:rsidR="00E32E78" w:rsidRPr="00E32E78" w:rsidRDefault="00E32E78" w:rsidP="00E32E78">
      <w:r w:rsidRPr="00E32E78">
        <w:t xml:space="preserve">Toute commande implique l’acceptation sans réserve des présentes CGV, qui prévalent sur toute condition générale ou particulière du </w:t>
      </w:r>
      <w:r w:rsidR="002C0ADB">
        <w:t>Client</w:t>
      </w:r>
      <w:r w:rsidRPr="00E32E78">
        <w:t>, sauf accord écrit contraire.</w:t>
      </w:r>
    </w:p>
    <w:p w14:paraId="26937B80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2 – Description des services</w:t>
      </w:r>
    </w:p>
    <w:p w14:paraId="02F5A5E3" w14:textId="77777777" w:rsidR="00E32E78" w:rsidRPr="00E32E78" w:rsidRDefault="00E32E78" w:rsidP="00E32E78">
      <w:r w:rsidRPr="00E32E78">
        <w:t>L’Atelier propose notamment :</w:t>
      </w:r>
    </w:p>
    <w:p w14:paraId="24E9946A" w14:textId="77777777" w:rsidR="00E32E78" w:rsidRPr="00E32E78" w:rsidRDefault="00E32E78" w:rsidP="00E32E78">
      <w:pPr>
        <w:numPr>
          <w:ilvl w:val="0"/>
          <w:numId w:val="1"/>
        </w:numPr>
      </w:pPr>
      <w:r w:rsidRPr="00E32E78">
        <w:t>Diagnostic de l’état du meuble</w:t>
      </w:r>
    </w:p>
    <w:p w14:paraId="2FEF5AA9" w14:textId="77777777" w:rsidR="00E32E78" w:rsidRPr="00E32E78" w:rsidRDefault="00E32E78" w:rsidP="00E32E78">
      <w:pPr>
        <w:numPr>
          <w:ilvl w:val="0"/>
          <w:numId w:val="1"/>
        </w:numPr>
      </w:pPr>
      <w:r w:rsidRPr="00E32E78">
        <w:t>Élaboration d’un devis détaillé</w:t>
      </w:r>
    </w:p>
    <w:p w14:paraId="0C75E010" w14:textId="77777777" w:rsidR="00E32E78" w:rsidRPr="00E32E78" w:rsidRDefault="00E32E78" w:rsidP="00E32E78">
      <w:pPr>
        <w:numPr>
          <w:ilvl w:val="0"/>
          <w:numId w:val="1"/>
        </w:numPr>
      </w:pPr>
      <w:r w:rsidRPr="00E32E78">
        <w:t>Travaux de restauration, réparation, transformation ou relooking</w:t>
      </w:r>
    </w:p>
    <w:p w14:paraId="2121710C" w14:textId="77777777" w:rsidR="00E32E78" w:rsidRPr="00E32E78" w:rsidRDefault="00E32E78" w:rsidP="00E32E78">
      <w:pPr>
        <w:numPr>
          <w:ilvl w:val="0"/>
          <w:numId w:val="1"/>
        </w:numPr>
      </w:pPr>
      <w:r w:rsidRPr="00E32E78">
        <w:t>Finitions (peinture, vernis, tapisserie, traitement du bois, etc.)</w:t>
      </w:r>
    </w:p>
    <w:p w14:paraId="1AFAABC8" w14:textId="77777777" w:rsidR="00E32E78" w:rsidRPr="00E32E78" w:rsidRDefault="00E32E78" w:rsidP="00E32E78">
      <w:pPr>
        <w:numPr>
          <w:ilvl w:val="0"/>
          <w:numId w:val="1"/>
        </w:numPr>
      </w:pPr>
      <w:r w:rsidRPr="00E32E78">
        <w:t>Conseils esthétiques et techniques</w:t>
      </w:r>
    </w:p>
    <w:p w14:paraId="1D9CEA01" w14:textId="77777777" w:rsidR="00E32E78" w:rsidRPr="00517C30" w:rsidRDefault="00E32E78" w:rsidP="00E32E78">
      <w:pPr>
        <w:numPr>
          <w:ilvl w:val="0"/>
          <w:numId w:val="1"/>
        </w:numPr>
      </w:pPr>
      <w:r w:rsidRPr="00517C30">
        <w:t>Organisation éventuelle du transport ou de la livraison</w:t>
      </w:r>
    </w:p>
    <w:p w14:paraId="27C9F3BE" w14:textId="2752FAB7" w:rsidR="00E32E78" w:rsidRPr="00E32E78" w:rsidRDefault="00E32E78" w:rsidP="00E32E78">
      <w:r w:rsidRPr="00E32E78">
        <w:t xml:space="preserve">Les prestations portent exclusivement sur des biens mobiliers corporels confiés par le </w:t>
      </w:r>
      <w:r w:rsidR="002C0ADB">
        <w:t>Client</w:t>
      </w:r>
      <w:r w:rsidRPr="00E32E78">
        <w:t xml:space="preserve"> en vue de leur transformation ou rénovation.</w:t>
      </w:r>
    </w:p>
    <w:p w14:paraId="3CC6D6CE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3 – Devis et formation du contrat</w:t>
      </w:r>
    </w:p>
    <w:p w14:paraId="332B6F7C" w14:textId="77777777" w:rsidR="00E32E78" w:rsidRPr="00E32E78" w:rsidRDefault="00E32E78" w:rsidP="00E32E78">
      <w:r w:rsidRPr="00E32E78">
        <w:t>Toute prestation fait l’objet d’un devis préalable précisant :</w:t>
      </w:r>
    </w:p>
    <w:p w14:paraId="2460A8F0" w14:textId="77777777" w:rsidR="00E32E78" w:rsidRPr="00E32E78" w:rsidRDefault="00E32E78" w:rsidP="00E32E78">
      <w:pPr>
        <w:numPr>
          <w:ilvl w:val="0"/>
          <w:numId w:val="2"/>
        </w:numPr>
      </w:pPr>
      <w:r w:rsidRPr="00E32E78">
        <w:t>La description des travaux envisagés</w:t>
      </w:r>
    </w:p>
    <w:p w14:paraId="2B3DBE34" w14:textId="77777777" w:rsidR="00E32E78" w:rsidRPr="00E32E78" w:rsidRDefault="00E32E78" w:rsidP="00E32E78">
      <w:pPr>
        <w:numPr>
          <w:ilvl w:val="0"/>
          <w:numId w:val="2"/>
        </w:numPr>
      </w:pPr>
      <w:r w:rsidRPr="00E32E78">
        <w:t>Le prix estimé</w:t>
      </w:r>
    </w:p>
    <w:p w14:paraId="7AB6A183" w14:textId="77777777" w:rsidR="00E32E78" w:rsidRPr="00E32E78" w:rsidRDefault="00E32E78" w:rsidP="00E32E78">
      <w:pPr>
        <w:numPr>
          <w:ilvl w:val="0"/>
          <w:numId w:val="2"/>
        </w:numPr>
      </w:pPr>
      <w:r w:rsidRPr="00E32E78">
        <w:t>Les délais indicatifs</w:t>
      </w:r>
    </w:p>
    <w:p w14:paraId="4B5F0983" w14:textId="77777777" w:rsidR="00E32E78" w:rsidRPr="00E32E78" w:rsidRDefault="00E32E78" w:rsidP="00E32E78">
      <w:pPr>
        <w:numPr>
          <w:ilvl w:val="0"/>
          <w:numId w:val="2"/>
        </w:numPr>
      </w:pPr>
      <w:r w:rsidRPr="00E32E78">
        <w:t>Les modalités de paiement</w:t>
      </w:r>
    </w:p>
    <w:p w14:paraId="17FCC839" w14:textId="77777777" w:rsidR="00E32E78" w:rsidRPr="00E32E78" w:rsidRDefault="00E32E78" w:rsidP="00E32E78">
      <w:r w:rsidRPr="00E32E78">
        <w:t>Le devis est valable pour une durée de 30 jours sauf mention contraire.</w:t>
      </w:r>
    </w:p>
    <w:p w14:paraId="579A002F" w14:textId="77777777" w:rsidR="00E32E78" w:rsidRPr="00E32E78" w:rsidRDefault="00E32E78" w:rsidP="00E32E78">
      <w:r w:rsidRPr="00E32E78">
        <w:t>Le contrat est formé à la date :</w:t>
      </w:r>
    </w:p>
    <w:p w14:paraId="4A05DDDF" w14:textId="1B9D560D" w:rsidR="00E32E78" w:rsidRPr="00E32E78" w:rsidRDefault="00E32E78" w:rsidP="00E32E78">
      <w:pPr>
        <w:numPr>
          <w:ilvl w:val="0"/>
          <w:numId w:val="3"/>
        </w:numPr>
      </w:pPr>
      <w:r w:rsidRPr="00E32E78">
        <w:lastRenderedPageBreak/>
        <w:t xml:space="preserve">De la signature du devis par le </w:t>
      </w:r>
      <w:r w:rsidR="002C0ADB">
        <w:t>Client</w:t>
      </w:r>
      <w:r w:rsidRPr="00E32E78">
        <w:t xml:space="preserve">, </w:t>
      </w:r>
      <w:proofErr w:type="gramStart"/>
      <w:r w:rsidRPr="00E32E78">
        <w:t>ou</w:t>
      </w:r>
      <w:proofErr w:type="gramEnd"/>
    </w:p>
    <w:p w14:paraId="5E1D82D6" w14:textId="77777777" w:rsidR="00E32E78" w:rsidRPr="00E32E78" w:rsidRDefault="00E32E78" w:rsidP="00E32E78">
      <w:pPr>
        <w:numPr>
          <w:ilvl w:val="0"/>
          <w:numId w:val="3"/>
        </w:numPr>
      </w:pPr>
      <w:r w:rsidRPr="00E32E78">
        <w:t xml:space="preserve">De l’acceptation écrite (y compris électronique), </w:t>
      </w:r>
      <w:proofErr w:type="gramStart"/>
      <w:r w:rsidRPr="00E32E78">
        <w:t>ou</w:t>
      </w:r>
      <w:proofErr w:type="gramEnd"/>
    </w:p>
    <w:p w14:paraId="2D3128E1" w14:textId="77777777" w:rsidR="00E32E78" w:rsidRPr="00E32E78" w:rsidRDefault="00E32E78" w:rsidP="00E32E78">
      <w:pPr>
        <w:numPr>
          <w:ilvl w:val="0"/>
          <w:numId w:val="3"/>
        </w:numPr>
      </w:pPr>
      <w:r w:rsidRPr="00E32E78">
        <w:t>Du paiement de l’acompte convenu.</w:t>
      </w:r>
    </w:p>
    <w:p w14:paraId="51FA111C" w14:textId="77777777" w:rsidR="00E32E78" w:rsidRPr="00E32E78" w:rsidRDefault="00E32E78" w:rsidP="00E32E78">
      <w:r w:rsidRPr="00E32E78">
        <w:t>Toute demande de modification en cours d’exécution fera l’objet d’un devis complémentaire.</w:t>
      </w:r>
    </w:p>
    <w:p w14:paraId="016F430E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4 – Prix et modalités de paiement</w:t>
      </w:r>
    </w:p>
    <w:p w14:paraId="246C286F" w14:textId="42285D87" w:rsidR="00E32E78" w:rsidRPr="00E32E78" w:rsidRDefault="00E32E78" w:rsidP="00E32E78">
      <w:r w:rsidRPr="00E32E78">
        <w:t>Les prix sont exprimés en euros, TVA comprise ou hors TVA selon le régime applicable à l’</w:t>
      </w:r>
      <w:r w:rsidR="00097329">
        <w:t>ASBL</w:t>
      </w:r>
      <w:r w:rsidRPr="00E32E78">
        <w:t>.</w:t>
      </w:r>
    </w:p>
    <w:p w14:paraId="6457F494" w14:textId="77777777" w:rsidR="00E32E78" w:rsidRPr="00E32E78" w:rsidRDefault="00E32E78" w:rsidP="00E32E78">
      <w:r w:rsidRPr="00E32E78">
        <w:t>Sauf stipulation contraire :</w:t>
      </w:r>
    </w:p>
    <w:p w14:paraId="1D4EB755" w14:textId="77777777" w:rsidR="00E32E78" w:rsidRPr="00E32E78" w:rsidRDefault="00E32E78" w:rsidP="00E32E78">
      <w:pPr>
        <w:numPr>
          <w:ilvl w:val="0"/>
          <w:numId w:val="4"/>
        </w:numPr>
      </w:pPr>
      <w:r w:rsidRPr="00E32E78">
        <w:t>Un acompte de 50 % est exigé à la commande</w:t>
      </w:r>
    </w:p>
    <w:p w14:paraId="6FDC06B3" w14:textId="1DDA8126" w:rsidR="00E6315B" w:rsidRPr="00E32E78" w:rsidRDefault="00E6315B" w:rsidP="00E32E78">
      <w:pPr>
        <w:numPr>
          <w:ilvl w:val="0"/>
          <w:numId w:val="4"/>
        </w:numPr>
        <w:rPr>
          <w:lang w:val="fr-FR"/>
        </w:rPr>
      </w:pPr>
      <w:r>
        <w:t>Le solde est payable au plus tard</w:t>
      </w:r>
      <w:r w:rsidR="00607E62">
        <w:t xml:space="preserve"> </w:t>
      </w:r>
      <w:r w:rsidR="00B11CC7">
        <w:t xml:space="preserve">après </w:t>
      </w:r>
      <w:r w:rsidR="00607E62">
        <w:t xml:space="preserve">approbation du service par le </w:t>
      </w:r>
      <w:r w:rsidR="002C0ADB">
        <w:t>Client</w:t>
      </w:r>
      <w:r w:rsidR="00607E62">
        <w:t xml:space="preserve"> </w:t>
      </w:r>
      <w:r>
        <w:t xml:space="preserve">lors de l’enlèvement ou </w:t>
      </w:r>
      <w:r w:rsidR="00607E62">
        <w:t>avant</w:t>
      </w:r>
      <w:r>
        <w:t xml:space="preserve"> la livraison</w:t>
      </w:r>
    </w:p>
    <w:p w14:paraId="66FA0486" w14:textId="77777777" w:rsidR="00E32E78" w:rsidRPr="00E32E78" w:rsidRDefault="00E32E78" w:rsidP="00E32E78">
      <w:r w:rsidRPr="00E32E78">
        <w:t>En cas de retard de paiement :</w:t>
      </w:r>
    </w:p>
    <w:p w14:paraId="208C807E" w14:textId="2F4276CB" w:rsidR="00E32E78" w:rsidRPr="00E32E78" w:rsidRDefault="00E32E78" w:rsidP="00E32E78">
      <w:pPr>
        <w:numPr>
          <w:ilvl w:val="0"/>
          <w:numId w:val="5"/>
        </w:numPr>
      </w:pPr>
      <w:r w:rsidRPr="00E32E78">
        <w:t xml:space="preserve">Pour les </w:t>
      </w:r>
      <w:r w:rsidR="002C0ADB">
        <w:t>Client</w:t>
      </w:r>
      <w:r w:rsidRPr="00E32E78">
        <w:t>s : intérêts de retard au taux légal après mise en demeure</w:t>
      </w:r>
    </w:p>
    <w:p w14:paraId="492A2642" w14:textId="77777777" w:rsidR="00E32E78" w:rsidRPr="00E32E78" w:rsidRDefault="00E32E78" w:rsidP="00E32E78">
      <w:pPr>
        <w:numPr>
          <w:ilvl w:val="0"/>
          <w:numId w:val="5"/>
        </w:numPr>
      </w:pPr>
      <w:r w:rsidRPr="00E32E78">
        <w:t>Pour les professionnels : intérêts au taux prévu par la loi du 2 août 2002 concernant la lutte contre le retard de paiement, ainsi qu’une indemnité forfaitaire de 10 % du montant dû (minimum 40 €)</w:t>
      </w:r>
    </w:p>
    <w:p w14:paraId="710A8C90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5 – Délais d’exécution</w:t>
      </w:r>
    </w:p>
    <w:p w14:paraId="3CBF614E" w14:textId="77777777" w:rsidR="00E32E78" w:rsidRPr="00E32E78" w:rsidRDefault="00E32E78" w:rsidP="00E32E78">
      <w:r w:rsidRPr="00E32E78">
        <w:t>Les délais communiqués sont indicatifs.</w:t>
      </w:r>
    </w:p>
    <w:p w14:paraId="1504C3E2" w14:textId="77777777" w:rsidR="00E32E78" w:rsidRPr="00E32E78" w:rsidRDefault="00E32E78" w:rsidP="00E32E78">
      <w:r w:rsidRPr="00E32E78">
        <w:t>Ils peuvent être prolongés en cas de :</w:t>
      </w:r>
    </w:p>
    <w:p w14:paraId="72DB60B5" w14:textId="77777777" w:rsidR="00E32E78" w:rsidRPr="00E32E78" w:rsidRDefault="00E32E78" w:rsidP="00E32E78">
      <w:pPr>
        <w:numPr>
          <w:ilvl w:val="0"/>
          <w:numId w:val="6"/>
        </w:numPr>
      </w:pPr>
      <w:r w:rsidRPr="00E32E78">
        <w:t>Découverte de défauts cachés du meuble</w:t>
      </w:r>
    </w:p>
    <w:p w14:paraId="6519F504" w14:textId="77777777" w:rsidR="00E32E78" w:rsidRPr="00E32E78" w:rsidRDefault="00E32E78" w:rsidP="00E32E78">
      <w:pPr>
        <w:numPr>
          <w:ilvl w:val="0"/>
          <w:numId w:val="6"/>
        </w:numPr>
      </w:pPr>
      <w:r w:rsidRPr="00E32E78">
        <w:t>Retard d’approvisionnement en matériaux</w:t>
      </w:r>
    </w:p>
    <w:p w14:paraId="2FD97EA2" w14:textId="77777777" w:rsidR="00E32E78" w:rsidRPr="00E32E78" w:rsidRDefault="00E32E78" w:rsidP="00E32E78">
      <w:pPr>
        <w:numPr>
          <w:ilvl w:val="0"/>
          <w:numId w:val="6"/>
        </w:numPr>
      </w:pPr>
      <w:r w:rsidRPr="00E32E78">
        <w:t>Conditions techniques imprévues</w:t>
      </w:r>
    </w:p>
    <w:p w14:paraId="45DBE112" w14:textId="77777777" w:rsidR="00E32E78" w:rsidRPr="00E32E78" w:rsidRDefault="00E32E78" w:rsidP="00E32E78">
      <w:pPr>
        <w:numPr>
          <w:ilvl w:val="0"/>
          <w:numId w:val="6"/>
        </w:numPr>
      </w:pPr>
      <w:r w:rsidRPr="00E32E78">
        <w:t>Force majeure</w:t>
      </w:r>
    </w:p>
    <w:p w14:paraId="1F564FAD" w14:textId="77777777" w:rsidR="00E32E78" w:rsidRPr="00E32E78" w:rsidRDefault="00E32E78" w:rsidP="00E32E78">
      <w:r w:rsidRPr="00E32E78">
        <w:t>Aucun retard raisonnable ne peut donner lieu à annulation ou indemnisation sauf faute lourde ou intentionnelle.</w:t>
      </w:r>
    </w:p>
    <w:p w14:paraId="4D3B550C" w14:textId="17D6F7AC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 xml:space="preserve">Article 6 – Obligations du </w:t>
      </w:r>
      <w:r w:rsidR="002C0ADB">
        <w:rPr>
          <w:b/>
          <w:bCs/>
        </w:rPr>
        <w:t>Client</w:t>
      </w:r>
    </w:p>
    <w:p w14:paraId="783A85D9" w14:textId="66B9EB34" w:rsidR="00E32E78" w:rsidRPr="00E32E78" w:rsidRDefault="00E32E78" w:rsidP="00E32E78">
      <w:r w:rsidRPr="00E32E78">
        <w:t xml:space="preserve">Le </w:t>
      </w:r>
      <w:r w:rsidR="002C0ADB">
        <w:t>Client</w:t>
      </w:r>
      <w:r w:rsidRPr="00E32E78">
        <w:t xml:space="preserve"> garantit :</w:t>
      </w:r>
    </w:p>
    <w:p w14:paraId="782DC386" w14:textId="77777777" w:rsidR="00E32E78" w:rsidRPr="00E32E78" w:rsidRDefault="00E32E78" w:rsidP="00E32E78">
      <w:pPr>
        <w:numPr>
          <w:ilvl w:val="0"/>
          <w:numId w:val="7"/>
        </w:numPr>
      </w:pPr>
      <w:r w:rsidRPr="00E32E78">
        <w:t>Être propriétaire légitime du meuble confié</w:t>
      </w:r>
    </w:p>
    <w:p w14:paraId="0EB2E8E3" w14:textId="77777777" w:rsidR="00E32E78" w:rsidRPr="00E32E78" w:rsidRDefault="00E32E78" w:rsidP="00E32E78">
      <w:pPr>
        <w:numPr>
          <w:ilvl w:val="0"/>
          <w:numId w:val="7"/>
        </w:numPr>
      </w:pPr>
      <w:r w:rsidRPr="00E32E78">
        <w:t>Que le bien ne fait l’objet d’aucune revendication</w:t>
      </w:r>
    </w:p>
    <w:p w14:paraId="009D1407" w14:textId="77777777" w:rsidR="00E32E78" w:rsidRPr="00E32E78" w:rsidRDefault="00E32E78" w:rsidP="00E32E78">
      <w:pPr>
        <w:numPr>
          <w:ilvl w:val="0"/>
          <w:numId w:val="7"/>
        </w:numPr>
      </w:pPr>
      <w:r w:rsidRPr="00E32E78">
        <w:t>Avoir communiqué toute information utile relative à son état (fragilité, infestation, réparations antérieures, etc.)</w:t>
      </w:r>
    </w:p>
    <w:p w14:paraId="2515EF91" w14:textId="46A8F2DB" w:rsidR="00E32E78" w:rsidRPr="00E32E78" w:rsidRDefault="00E32E78" w:rsidP="00E32E78">
      <w:r w:rsidRPr="00E32E78">
        <w:t xml:space="preserve">Le </w:t>
      </w:r>
      <w:r w:rsidR="002C0ADB">
        <w:t>Client</w:t>
      </w:r>
      <w:r w:rsidRPr="00E32E78">
        <w:t xml:space="preserve"> s’engage à enlever le meuble dans un délai de 15 jours après notification de fin de travaux.</w:t>
      </w:r>
    </w:p>
    <w:p w14:paraId="559448CB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7 – Transfert des risques et responsabilité</w:t>
      </w:r>
    </w:p>
    <w:p w14:paraId="34B98527" w14:textId="077623EF" w:rsidR="00E32E78" w:rsidRPr="00E32E78" w:rsidRDefault="00E32E78" w:rsidP="00E32E78">
      <w:r w:rsidRPr="00E32E78">
        <w:t xml:space="preserve">Le meuble confié reste la propriété du </w:t>
      </w:r>
      <w:r w:rsidR="002C0ADB">
        <w:t>Client</w:t>
      </w:r>
      <w:r w:rsidRPr="00E32E78">
        <w:t xml:space="preserve"> pendant toute la durée des travaux.</w:t>
      </w:r>
    </w:p>
    <w:p w14:paraId="4C35EC74" w14:textId="39027317" w:rsidR="00E32E78" w:rsidRPr="00E32E78" w:rsidRDefault="00E32E78" w:rsidP="00E32E78">
      <w:r w:rsidRPr="00E32E78">
        <w:lastRenderedPageBreak/>
        <w:t xml:space="preserve">Le </w:t>
      </w:r>
      <w:r w:rsidR="002C0ADB">
        <w:t>Prestataire</w:t>
      </w:r>
      <w:r w:rsidRPr="00E32E78">
        <w:t xml:space="preserve"> assume une obligation de moyens dans l’exécution des travaux.</w:t>
      </w:r>
    </w:p>
    <w:p w14:paraId="4BBCFC53" w14:textId="77777777" w:rsidR="00E32E78" w:rsidRPr="00E32E78" w:rsidRDefault="00E32E78" w:rsidP="00E32E78">
      <w:r w:rsidRPr="00E32E78">
        <w:t>Le risque de perte ou de détérioration est supporté :</w:t>
      </w:r>
    </w:p>
    <w:p w14:paraId="2C28E25B" w14:textId="5A45AED2" w:rsidR="00E32E78" w:rsidRPr="00E32E78" w:rsidRDefault="00E32E78" w:rsidP="00E32E78">
      <w:pPr>
        <w:numPr>
          <w:ilvl w:val="0"/>
          <w:numId w:val="8"/>
        </w:numPr>
      </w:pPr>
      <w:r w:rsidRPr="00E32E78">
        <w:t xml:space="preserve">Par le </w:t>
      </w:r>
      <w:r w:rsidR="002C0ADB">
        <w:t>Prestataire</w:t>
      </w:r>
      <w:r w:rsidRPr="00E32E78">
        <w:t xml:space="preserve"> pendant la durée de détention du meuble dans ses locaux, sauf cas de force majeure</w:t>
      </w:r>
      <w:r w:rsidR="00F9333D">
        <w:t xml:space="preserve">, ou lors du transport organisé par le </w:t>
      </w:r>
      <w:r w:rsidR="002C0ADB">
        <w:t>Prestataire</w:t>
      </w:r>
    </w:p>
    <w:p w14:paraId="37808D9B" w14:textId="61307BE6" w:rsidR="00E32E78" w:rsidRPr="00E32E78" w:rsidRDefault="00E32E78" w:rsidP="00E32E78">
      <w:pPr>
        <w:numPr>
          <w:ilvl w:val="0"/>
          <w:numId w:val="8"/>
        </w:numPr>
      </w:pPr>
      <w:r w:rsidRPr="00E32E78">
        <w:t xml:space="preserve">Par le </w:t>
      </w:r>
      <w:r w:rsidR="002C0ADB">
        <w:t>Client</w:t>
      </w:r>
      <w:r w:rsidRPr="00E32E78">
        <w:t xml:space="preserve"> lors du transport organisé par lui-même</w:t>
      </w:r>
    </w:p>
    <w:p w14:paraId="59C55743" w14:textId="77777777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8 – Limitation de responsabilité</w:t>
      </w:r>
    </w:p>
    <w:p w14:paraId="02B18B06" w14:textId="77777777" w:rsidR="00E32E78" w:rsidRPr="00E32E78" w:rsidRDefault="00E32E78" w:rsidP="00E32E78">
      <w:r w:rsidRPr="00E32E78">
        <w:t>L’Atelier ne peut être tenu responsable :</w:t>
      </w:r>
    </w:p>
    <w:p w14:paraId="702F04F2" w14:textId="06C21BCE" w:rsidR="00E32E78" w:rsidRPr="00E32E78" w:rsidRDefault="00E32E78" w:rsidP="00E32E78">
      <w:pPr>
        <w:numPr>
          <w:ilvl w:val="0"/>
          <w:numId w:val="9"/>
        </w:numPr>
      </w:pPr>
      <w:r w:rsidRPr="00E32E78">
        <w:t>Des vices cachés du meuble (structure instable, bois vermoulu, assemblages fragilisés</w:t>
      </w:r>
      <w:r w:rsidR="003613C2">
        <w:t>,</w:t>
      </w:r>
      <w:r w:rsidR="002C0ADB">
        <w:t xml:space="preserve"> </w:t>
      </w:r>
      <w:r w:rsidR="003613C2">
        <w:t>etc.</w:t>
      </w:r>
      <w:r w:rsidRPr="00E32E78">
        <w:t>)</w:t>
      </w:r>
    </w:p>
    <w:p w14:paraId="56DDB8B8" w14:textId="77777777" w:rsidR="00E32E78" w:rsidRPr="00E32E78" w:rsidRDefault="00E32E78" w:rsidP="00E32E78">
      <w:pPr>
        <w:numPr>
          <w:ilvl w:val="0"/>
          <w:numId w:val="9"/>
        </w:numPr>
      </w:pPr>
      <w:r w:rsidRPr="00E32E78">
        <w:t>D’infestations parasitaires préexistantes</w:t>
      </w:r>
    </w:p>
    <w:p w14:paraId="13043E8B" w14:textId="77777777" w:rsidR="00E32E78" w:rsidRPr="00E32E78" w:rsidRDefault="00E32E78" w:rsidP="00E32E78">
      <w:pPr>
        <w:numPr>
          <w:ilvl w:val="0"/>
          <w:numId w:val="9"/>
        </w:numPr>
      </w:pPr>
      <w:r w:rsidRPr="00E32E78">
        <w:t>De défauts internes non détectables lors du diagnostic</w:t>
      </w:r>
    </w:p>
    <w:p w14:paraId="24E009DA" w14:textId="77777777" w:rsidR="00E32E78" w:rsidRPr="00E32E78" w:rsidRDefault="00E32E78" w:rsidP="00E32E78">
      <w:pPr>
        <w:numPr>
          <w:ilvl w:val="0"/>
          <w:numId w:val="9"/>
        </w:numPr>
      </w:pPr>
      <w:r w:rsidRPr="00E32E78">
        <w:t>De l’usure naturelle des matériaux anciens</w:t>
      </w:r>
    </w:p>
    <w:p w14:paraId="41E6C23E" w14:textId="77777777" w:rsidR="00E32E78" w:rsidRPr="00E32E78" w:rsidRDefault="00E32E78" w:rsidP="00E32E78">
      <w:pPr>
        <w:numPr>
          <w:ilvl w:val="0"/>
          <w:numId w:val="9"/>
        </w:numPr>
      </w:pPr>
      <w:r w:rsidRPr="00E32E78">
        <w:t>Des différences esthétiques inhérentes au travail artisanal</w:t>
      </w:r>
    </w:p>
    <w:p w14:paraId="4CB69A64" w14:textId="3374A0CC" w:rsidR="00E32E78" w:rsidRPr="00E32E78" w:rsidRDefault="00E32E78" w:rsidP="00E32E78">
      <w:r w:rsidRPr="00E32E78">
        <w:t xml:space="preserve">En cas de dommage imputable au </w:t>
      </w:r>
      <w:r w:rsidR="002C0ADB">
        <w:t>Prestataire</w:t>
      </w:r>
      <w:r w:rsidRPr="00E32E78">
        <w:t>, la responsabilité est limitée au montant des travaux facturés, sauf dol ou faute lourde.</w:t>
      </w:r>
    </w:p>
    <w:p w14:paraId="144DCE50" w14:textId="64764338" w:rsidR="00E32E78" w:rsidRPr="00E32E78" w:rsidRDefault="00E32E78" w:rsidP="00E32E78">
      <w:r w:rsidRPr="00E32E78">
        <w:t xml:space="preserve">Aucune clause ne limite les droits légaux impératifs du </w:t>
      </w:r>
      <w:r w:rsidR="002C0ADB">
        <w:t>Client</w:t>
      </w:r>
      <w:r w:rsidRPr="00E32E78">
        <w:t>.</w:t>
      </w:r>
    </w:p>
    <w:p w14:paraId="483F639E" w14:textId="02198CF2" w:rsidR="00BE43C9" w:rsidRDefault="00BE43C9" w:rsidP="00E32E78">
      <w:pPr>
        <w:rPr>
          <w:b/>
          <w:bCs/>
        </w:rPr>
      </w:pPr>
      <w:r>
        <w:rPr>
          <w:b/>
          <w:bCs/>
        </w:rPr>
        <w:t xml:space="preserve">Article </w:t>
      </w:r>
      <w:r w:rsidR="00517C30">
        <w:rPr>
          <w:b/>
          <w:bCs/>
        </w:rPr>
        <w:t>9</w:t>
      </w:r>
      <w:r w:rsidR="00B11CC7">
        <w:rPr>
          <w:b/>
          <w:bCs/>
        </w:rPr>
        <w:t xml:space="preserve"> – Transport </w:t>
      </w:r>
      <w:r>
        <w:rPr>
          <w:b/>
          <w:bCs/>
        </w:rPr>
        <w:t xml:space="preserve"> </w:t>
      </w:r>
    </w:p>
    <w:p w14:paraId="1B6211F4" w14:textId="4C56FD47" w:rsidR="002A3A58" w:rsidRDefault="002A3A58" w:rsidP="002A3A58">
      <w:r>
        <w:t xml:space="preserve">Le </w:t>
      </w:r>
      <w:r w:rsidR="002C0ADB">
        <w:t>Prestataire</w:t>
      </w:r>
      <w:r>
        <w:t xml:space="preserve"> peut organiser l’enlèvement et ou la livraison. Le prix est indiqué sur le devis séparément des autres services.</w:t>
      </w:r>
    </w:p>
    <w:p w14:paraId="42BEF2D7" w14:textId="152436B3" w:rsidR="007B0924" w:rsidRDefault="003613C2" w:rsidP="002A3A58">
      <w:r>
        <w:t>L</w:t>
      </w:r>
      <w:r w:rsidR="007B0924">
        <w:t>ors de l’enlèvement et/ou de la livraison, l</w:t>
      </w:r>
      <w:r w:rsidR="002A3A58">
        <w:t xml:space="preserve">e meuble doit </w:t>
      </w:r>
      <w:r w:rsidR="007B0924">
        <w:t xml:space="preserve">se trouver </w:t>
      </w:r>
      <w:r w:rsidR="002A3A58">
        <w:t xml:space="preserve">au rez-de-chaussée, </w:t>
      </w:r>
      <w:r w:rsidR="007B0924">
        <w:t xml:space="preserve">sauf convention contraire. </w:t>
      </w:r>
    </w:p>
    <w:p w14:paraId="425D5BFE" w14:textId="5ADE2BB2" w:rsidR="002A3A58" w:rsidRDefault="007B0924" w:rsidP="002A3A58">
      <w:r>
        <w:t xml:space="preserve">Si celui-ci doit être démonté par le </w:t>
      </w:r>
      <w:r w:rsidR="002C0ADB">
        <w:t>Prestataire</w:t>
      </w:r>
      <w:r>
        <w:t xml:space="preserve"> ou s’il se situe aux étages, une visite préalable sur site sera nécessaire. </w:t>
      </w:r>
    </w:p>
    <w:p w14:paraId="5CBE106D" w14:textId="340C949D" w:rsidR="007B0924" w:rsidRDefault="007B0924" w:rsidP="007B0924">
      <w:pPr>
        <w:rPr>
          <w:lang w:val="fr-FR"/>
        </w:rPr>
      </w:pPr>
      <w:r>
        <w:rPr>
          <w:lang w:val="fr-FR"/>
        </w:rPr>
        <w:t>La date d’enlèvement et/ou de livraison sera conve</w:t>
      </w:r>
      <w:bookmarkStart w:id="0" w:name="_GoBack"/>
      <w:bookmarkEnd w:id="0"/>
      <w:r>
        <w:rPr>
          <w:lang w:val="fr-FR"/>
        </w:rPr>
        <w:t>nue avec le logisticien.</w:t>
      </w:r>
    </w:p>
    <w:p w14:paraId="134ACB76" w14:textId="000DCEF6" w:rsidR="00A70BF8" w:rsidRDefault="00A70BF8" w:rsidP="00A70BF8">
      <w:pPr>
        <w:rPr>
          <w:strike/>
        </w:rPr>
      </w:pPr>
      <w:r>
        <w:t xml:space="preserve">En cas d'absence du </w:t>
      </w:r>
      <w:r w:rsidR="002C0ADB">
        <w:t>Client</w:t>
      </w:r>
      <w:r>
        <w:t xml:space="preserve"> lors de la livraison, ou en cas d’impossibilité d’effectuer la livraison par faute du </w:t>
      </w:r>
      <w:r w:rsidR="002C0ADB">
        <w:t>Client</w:t>
      </w:r>
      <w:r>
        <w:t xml:space="preserve">, il sera facturé une livraison supplémentaire. </w:t>
      </w:r>
    </w:p>
    <w:p w14:paraId="12690B8A" w14:textId="4578FEED" w:rsidR="00A70BF8" w:rsidRDefault="00A70BF8" w:rsidP="00A70BF8">
      <w:r>
        <w:t xml:space="preserve">Si le </w:t>
      </w:r>
      <w:r w:rsidR="002C0ADB">
        <w:t>Prestataire</w:t>
      </w:r>
      <w:r>
        <w:t xml:space="preserve"> ne livre pas le bien à la date convenue, l</w:t>
      </w:r>
      <w:r w:rsidR="003613C2">
        <w:t xml:space="preserve">e </w:t>
      </w:r>
      <w:r w:rsidR="002C0ADB">
        <w:t>Client</w:t>
      </w:r>
      <w:r>
        <w:t xml:space="preserve"> pourra convenir d'une nouvelle date de livraison à intervenir dans un délai d'une semaine.</w:t>
      </w:r>
    </w:p>
    <w:p w14:paraId="0BA89944" w14:textId="773DD616" w:rsidR="00B318D4" w:rsidRPr="00517C30" w:rsidRDefault="00B318D4" w:rsidP="00B318D4">
      <w:r w:rsidRPr="00517C30">
        <w:t>Les parties peuvent convenir de combiner une livraison et un enlèvement d</w:t>
      </w:r>
      <w:r>
        <w:t>’un meuble</w:t>
      </w:r>
      <w:r w:rsidRPr="00517C30">
        <w:t xml:space="preserve"> appartenant </w:t>
      </w:r>
      <w:r>
        <w:t>au Client, faisant l’objet d’un don envers l’</w:t>
      </w:r>
      <w:r w:rsidR="00097329">
        <w:t>ASBL</w:t>
      </w:r>
      <w:r>
        <w:t xml:space="preserve"> Fleur Service social</w:t>
      </w:r>
      <w:r w:rsidRPr="00517C30">
        <w:t xml:space="preserve">. Dans ce cas, le prix de la livraison </w:t>
      </w:r>
      <w:r>
        <w:t>reste</w:t>
      </w:r>
      <w:r w:rsidRPr="00517C30">
        <w:t xml:space="preserve"> dû par l</w:t>
      </w:r>
      <w:r>
        <w:t>e Client</w:t>
      </w:r>
      <w:r w:rsidRPr="00517C30">
        <w:t>.</w:t>
      </w:r>
    </w:p>
    <w:p w14:paraId="1D60251E" w14:textId="528086F5" w:rsidR="00A70BF8" w:rsidRPr="003613C2" w:rsidRDefault="00B318D4" w:rsidP="00A70BF8">
      <w:r>
        <w:t>Ces collectes</w:t>
      </w:r>
      <w:r w:rsidR="00A70BF8" w:rsidRPr="00517C30">
        <w:t xml:space="preserve"> de biens</w:t>
      </w:r>
      <w:r>
        <w:t>, faisant l’objet d’un don</w:t>
      </w:r>
      <w:r w:rsidRPr="00517C30">
        <w:t xml:space="preserve"> </w:t>
      </w:r>
      <w:r w:rsidR="00A70BF8" w:rsidRPr="00517C30">
        <w:t>accepté par l'association</w:t>
      </w:r>
      <w:r>
        <w:t>,</w:t>
      </w:r>
      <w:r w:rsidR="00A70BF8" w:rsidRPr="00517C30">
        <w:t xml:space="preserve"> sont gratuit</w:t>
      </w:r>
      <w:r w:rsidR="00182AC3">
        <w:t>e</w:t>
      </w:r>
      <w:r w:rsidR="00A70BF8" w:rsidRPr="00517C30">
        <w:t>s.</w:t>
      </w:r>
    </w:p>
    <w:p w14:paraId="0C7CC219" w14:textId="7B8E7CB8" w:rsidR="00A70BF8" w:rsidRPr="00517C30" w:rsidRDefault="00A70BF8" w:rsidP="00A70BF8">
      <w:r w:rsidRPr="00517C30">
        <w:t>L'entreprise devient propriétaire de plein droit et de façon irrévocable des biens qui lui sont donnés par l</w:t>
      </w:r>
      <w:r w:rsidR="002C0ADB">
        <w:t>e Client</w:t>
      </w:r>
      <w:r w:rsidRPr="00517C30">
        <w:t xml:space="preserve"> dès qu'elle a pris possession de ceux-ci.</w:t>
      </w:r>
    </w:p>
    <w:p w14:paraId="2785DE56" w14:textId="6561C5F3" w:rsidR="00A70BF8" w:rsidRDefault="00A70BF8" w:rsidP="00A70BF8">
      <w:r>
        <w:lastRenderedPageBreak/>
        <w:t xml:space="preserve">Seuls les défauts lors du montage du meuble réalisé par le </w:t>
      </w:r>
      <w:r w:rsidR="002C0ADB">
        <w:t>Prestataire</w:t>
      </w:r>
      <w:r>
        <w:t xml:space="preserve"> pourront faire l'objet d'une réclamation auprès du </w:t>
      </w:r>
      <w:r w:rsidR="002C0ADB">
        <w:t>Prestataire</w:t>
      </w:r>
      <w:r>
        <w:t xml:space="preserve"> par le </w:t>
      </w:r>
      <w:r w:rsidR="002C0ADB">
        <w:t>Client</w:t>
      </w:r>
      <w:r>
        <w:t xml:space="preserve"> et cela dans un délai maximum de 48h à dater de la livraison. </w:t>
      </w:r>
    </w:p>
    <w:p w14:paraId="03CE970F" w14:textId="77777777" w:rsidR="00A70BF8" w:rsidRDefault="00A70BF8" w:rsidP="00A70BF8"/>
    <w:p w14:paraId="07F0A0B1" w14:textId="436D7290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 xml:space="preserve">Article </w:t>
      </w:r>
      <w:r w:rsidR="00517C30">
        <w:rPr>
          <w:b/>
          <w:bCs/>
        </w:rPr>
        <w:t>10</w:t>
      </w:r>
      <w:r w:rsidRPr="00E32E78">
        <w:rPr>
          <w:b/>
          <w:bCs/>
        </w:rPr>
        <w:t xml:space="preserve"> – Droit de rétention</w:t>
      </w:r>
    </w:p>
    <w:p w14:paraId="355160AC" w14:textId="535F8A03" w:rsidR="00E32E78" w:rsidRPr="00E32E78" w:rsidRDefault="00E32E78" w:rsidP="00E32E78">
      <w:r w:rsidRPr="00E32E78">
        <w:t xml:space="preserve">Conformément aux principes généraux du droit belge, le </w:t>
      </w:r>
      <w:r w:rsidR="002C0ADB">
        <w:t>Prestataire</w:t>
      </w:r>
      <w:r w:rsidRPr="00E32E78">
        <w:t xml:space="preserve"> dispose d’un droit de rétention sur le meuble confié tant que les sommes dues ne sont pas intégralement payées.</w:t>
      </w:r>
    </w:p>
    <w:p w14:paraId="0DF66D12" w14:textId="6006B612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517C30">
        <w:rPr>
          <w:b/>
          <w:bCs/>
        </w:rPr>
        <w:t>1</w:t>
      </w:r>
      <w:r w:rsidRPr="00E32E78">
        <w:rPr>
          <w:b/>
          <w:bCs/>
        </w:rPr>
        <w:t xml:space="preserve"> – Droit de rétractation (B2C)</w:t>
      </w:r>
    </w:p>
    <w:p w14:paraId="41C30310" w14:textId="11857794" w:rsidR="00E32E78" w:rsidRPr="00E32E78" w:rsidRDefault="00E32E78" w:rsidP="00E32E78">
      <w:r w:rsidRPr="00E32E78">
        <w:t xml:space="preserve">Lorsque le contrat est conclu à distance ou hors établissement, le </w:t>
      </w:r>
      <w:r w:rsidR="002C0ADB">
        <w:t>Client</w:t>
      </w:r>
      <w:r w:rsidR="000D445A" w:rsidRPr="00E32E78">
        <w:t xml:space="preserve"> </w:t>
      </w:r>
      <w:r w:rsidRPr="00E32E78">
        <w:t>dispose d’un droit de rétractation de 14 jours calendaires.</w:t>
      </w:r>
    </w:p>
    <w:p w14:paraId="71594724" w14:textId="77777777" w:rsidR="00E32E78" w:rsidRPr="00E32E78" w:rsidRDefault="00E32E78" w:rsidP="00E32E78">
      <w:r w:rsidRPr="00E32E78">
        <w:t>Toutefois, ce droit ne s’applique pas :</w:t>
      </w:r>
    </w:p>
    <w:p w14:paraId="090B111D" w14:textId="3A17ADD0" w:rsidR="00E32E78" w:rsidRPr="00E32E78" w:rsidRDefault="00E32E78" w:rsidP="00E32E78">
      <w:pPr>
        <w:numPr>
          <w:ilvl w:val="0"/>
          <w:numId w:val="10"/>
        </w:numPr>
      </w:pPr>
      <w:r w:rsidRPr="00E32E78">
        <w:t xml:space="preserve">Aux prestations pleinement exécutées avec l’accord préalable du </w:t>
      </w:r>
      <w:r w:rsidR="002C0ADB">
        <w:t>Client</w:t>
      </w:r>
    </w:p>
    <w:p w14:paraId="089C41B5" w14:textId="2D95222D" w:rsidR="00E32E78" w:rsidRPr="00E32E78" w:rsidRDefault="00E32E78" w:rsidP="00E32E78">
      <w:pPr>
        <w:numPr>
          <w:ilvl w:val="0"/>
          <w:numId w:val="10"/>
        </w:numPr>
      </w:pPr>
      <w:r w:rsidRPr="00E32E78">
        <w:t xml:space="preserve">Aux biens personnalisés ou transformés selon les spécifications du </w:t>
      </w:r>
      <w:r w:rsidR="002C0ADB">
        <w:t>Client</w:t>
      </w:r>
    </w:p>
    <w:p w14:paraId="6D916AC2" w14:textId="28E6DFEF" w:rsidR="00E32E78" w:rsidRPr="00E32E78" w:rsidRDefault="00E32E78" w:rsidP="00E32E78">
      <w:pPr>
        <w:numPr>
          <w:ilvl w:val="0"/>
          <w:numId w:val="10"/>
        </w:numPr>
      </w:pPr>
      <w:r w:rsidRPr="00E32E78">
        <w:t xml:space="preserve">Aux travaux déjà entamés à la demande expresse du </w:t>
      </w:r>
      <w:r w:rsidR="002C0ADB">
        <w:t>Client</w:t>
      </w:r>
    </w:p>
    <w:p w14:paraId="7EB9828B" w14:textId="250C6F09" w:rsidR="00E32E78" w:rsidRPr="00E32E78" w:rsidRDefault="00E32E78" w:rsidP="00E32E78">
      <w:r w:rsidRPr="00E32E78">
        <w:t>Si l’exécution commence durant le délai de rétractation</w:t>
      </w:r>
      <w:r w:rsidR="000D445A">
        <w:t>,</w:t>
      </w:r>
      <w:r w:rsidRPr="00E32E78">
        <w:t xml:space="preserve"> le </w:t>
      </w:r>
      <w:r w:rsidR="002C0ADB">
        <w:t>Client</w:t>
      </w:r>
      <w:r w:rsidRPr="00E32E78">
        <w:t xml:space="preserve"> reste redevable des frais proportionnels aux travaux déjà réalisés.</w:t>
      </w:r>
    </w:p>
    <w:p w14:paraId="2DD20842" w14:textId="034F5D79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517C30">
        <w:rPr>
          <w:b/>
          <w:bCs/>
        </w:rPr>
        <w:t>2</w:t>
      </w:r>
      <w:r w:rsidRPr="00E32E78">
        <w:rPr>
          <w:b/>
          <w:bCs/>
        </w:rPr>
        <w:t xml:space="preserve"> – Garantie sur les travaux</w:t>
      </w:r>
    </w:p>
    <w:p w14:paraId="6D9385E5" w14:textId="77777777" w:rsidR="00E32E78" w:rsidRPr="00E32E78" w:rsidRDefault="00E32E78" w:rsidP="00E32E78">
      <w:r w:rsidRPr="00E32E78">
        <w:t>L’Atelier garantit la qualité d’exécution des travaux pendant une durée de 6 mois à compter de la restitution du meuble.</w:t>
      </w:r>
    </w:p>
    <w:p w14:paraId="4F848BB1" w14:textId="77777777" w:rsidR="00E32E78" w:rsidRPr="00E32E78" w:rsidRDefault="00E32E78" w:rsidP="00E32E78">
      <w:r w:rsidRPr="00E32E78">
        <w:t>La garantie couvre uniquement les défauts résultant d’une mauvaise exécution des travaux.</w:t>
      </w:r>
    </w:p>
    <w:p w14:paraId="2AEFD58D" w14:textId="77777777" w:rsidR="00E32E78" w:rsidRPr="00E32E78" w:rsidRDefault="00E32E78" w:rsidP="00E32E78">
      <w:r w:rsidRPr="00E32E78">
        <w:t>Elle exclut :</w:t>
      </w:r>
    </w:p>
    <w:p w14:paraId="4DE04A4E" w14:textId="77777777" w:rsidR="00E32E78" w:rsidRPr="00E32E78" w:rsidRDefault="00E32E78" w:rsidP="00E32E78">
      <w:pPr>
        <w:numPr>
          <w:ilvl w:val="0"/>
          <w:numId w:val="11"/>
        </w:numPr>
      </w:pPr>
      <w:r w:rsidRPr="00E32E78">
        <w:t>L’usure normale</w:t>
      </w:r>
    </w:p>
    <w:p w14:paraId="308F6223" w14:textId="77777777" w:rsidR="00E32E78" w:rsidRPr="00E32E78" w:rsidRDefault="00E32E78" w:rsidP="00E32E78">
      <w:pPr>
        <w:numPr>
          <w:ilvl w:val="0"/>
          <w:numId w:val="11"/>
        </w:numPr>
      </w:pPr>
      <w:r w:rsidRPr="00E32E78">
        <w:t>Une mauvaise utilisation</w:t>
      </w:r>
    </w:p>
    <w:p w14:paraId="07B49D5A" w14:textId="77777777" w:rsidR="00E32E78" w:rsidRPr="00E32E78" w:rsidRDefault="00E32E78" w:rsidP="00E32E78">
      <w:pPr>
        <w:numPr>
          <w:ilvl w:val="0"/>
          <w:numId w:val="11"/>
        </w:numPr>
      </w:pPr>
      <w:r w:rsidRPr="00E32E78">
        <w:t>Les défauts structurels préexistants</w:t>
      </w:r>
    </w:p>
    <w:p w14:paraId="370547DC" w14:textId="1A24B9D1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517C30">
        <w:rPr>
          <w:b/>
          <w:bCs/>
        </w:rPr>
        <w:t>3</w:t>
      </w:r>
      <w:r w:rsidRPr="00E32E78">
        <w:rPr>
          <w:b/>
          <w:bCs/>
        </w:rPr>
        <w:t xml:space="preserve"> – Stockage et non-enlèvement</w:t>
      </w:r>
    </w:p>
    <w:p w14:paraId="60A2854F" w14:textId="77777777" w:rsidR="00E32E78" w:rsidRPr="00E32E78" w:rsidRDefault="00E32E78" w:rsidP="00E32E78">
      <w:r w:rsidRPr="00E32E78">
        <w:t>Passé un délai de 15 jours après notification de fin de travaux :</w:t>
      </w:r>
    </w:p>
    <w:p w14:paraId="55E0FEFD" w14:textId="5FDDBB6A" w:rsidR="00E32E78" w:rsidRPr="00E32E78" w:rsidRDefault="00E32E78" w:rsidP="00E32E78">
      <w:pPr>
        <w:numPr>
          <w:ilvl w:val="0"/>
          <w:numId w:val="12"/>
        </w:numPr>
      </w:pPr>
      <w:r w:rsidRPr="00517C30">
        <w:t xml:space="preserve">Des frais de stockage de </w:t>
      </w:r>
      <w:r w:rsidR="00D26AC9" w:rsidRPr="00517C30">
        <w:t>10</w:t>
      </w:r>
      <w:r w:rsidR="006B643A" w:rsidRPr="00517C30">
        <w:t> </w:t>
      </w:r>
      <w:r w:rsidRPr="00517C30">
        <w:t>€</w:t>
      </w:r>
      <w:r w:rsidRPr="00E32E78">
        <w:t xml:space="preserve"> par jour pourront être facturés</w:t>
      </w:r>
    </w:p>
    <w:p w14:paraId="33A32134" w14:textId="1209BF1D" w:rsidR="00E32E78" w:rsidRPr="00E32E78" w:rsidRDefault="00E32E78" w:rsidP="00E32E78">
      <w:pPr>
        <w:numPr>
          <w:ilvl w:val="0"/>
          <w:numId w:val="12"/>
        </w:numPr>
      </w:pPr>
      <w:r w:rsidRPr="00E32E78">
        <w:t xml:space="preserve">Après </w:t>
      </w:r>
      <w:r w:rsidR="00D26AC9">
        <w:t>1</w:t>
      </w:r>
      <w:r w:rsidRPr="00E32E78">
        <w:t xml:space="preserve"> mois sans enlèvement ni réponse, une mise en demeure sera envoyée</w:t>
      </w:r>
    </w:p>
    <w:p w14:paraId="143D93F2" w14:textId="5BF9203A" w:rsidR="00E32E78" w:rsidRPr="00E32E78" w:rsidRDefault="00E32E78" w:rsidP="00E32E78">
      <w:pPr>
        <w:numPr>
          <w:ilvl w:val="0"/>
          <w:numId w:val="12"/>
        </w:numPr>
      </w:pPr>
      <w:r w:rsidRPr="00E32E78">
        <w:t xml:space="preserve">À défaut de réaction, le </w:t>
      </w:r>
      <w:r w:rsidR="002C0ADB">
        <w:t>Prestataire</w:t>
      </w:r>
      <w:r w:rsidRPr="00E32E78">
        <w:t xml:space="preserve"> pourra exercer ses droits légaux, y compris la vente du bien conformément aux dispositions applicables</w:t>
      </w:r>
    </w:p>
    <w:p w14:paraId="49887BD1" w14:textId="51B1AD62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517C30">
        <w:rPr>
          <w:b/>
          <w:bCs/>
        </w:rPr>
        <w:t>4</w:t>
      </w:r>
      <w:r w:rsidRPr="00E32E78">
        <w:rPr>
          <w:b/>
          <w:bCs/>
        </w:rPr>
        <w:t xml:space="preserve"> – Force majeure</w:t>
      </w:r>
    </w:p>
    <w:p w14:paraId="1402D6F2" w14:textId="2BBB3026" w:rsidR="00E32E78" w:rsidRPr="00E32E78" w:rsidRDefault="00E32E78" w:rsidP="00E32E78">
      <w:r w:rsidRPr="00E32E78">
        <w:t xml:space="preserve">Le </w:t>
      </w:r>
      <w:r w:rsidR="002C0ADB">
        <w:t>Prestataire</w:t>
      </w:r>
      <w:r w:rsidRPr="00E32E78">
        <w:t xml:space="preserve"> ne peut être tenu responsable en cas d’événement imprévisible et indépendant de sa volonté (incendie, inondation, pandémie, grève, pénurie de matériaux, etc.).</w:t>
      </w:r>
    </w:p>
    <w:p w14:paraId="3BC9EC57" w14:textId="55664272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2C0ADB">
        <w:rPr>
          <w:b/>
          <w:bCs/>
        </w:rPr>
        <w:t>5</w:t>
      </w:r>
      <w:r w:rsidRPr="00E32E78">
        <w:rPr>
          <w:b/>
          <w:bCs/>
        </w:rPr>
        <w:t xml:space="preserve"> – Protection des données (RGPD)</w:t>
      </w:r>
    </w:p>
    <w:p w14:paraId="4C7CA716" w14:textId="1F56BF4C" w:rsidR="00E32E78" w:rsidRPr="00E32E78" w:rsidRDefault="00E32E78" w:rsidP="00E32E78">
      <w:r w:rsidRPr="00E32E78">
        <w:lastRenderedPageBreak/>
        <w:t xml:space="preserve">Les données personnelles du </w:t>
      </w:r>
      <w:r w:rsidR="002C0ADB">
        <w:t>Client</w:t>
      </w:r>
      <w:r w:rsidRPr="00E32E78">
        <w:t xml:space="preserve"> sont traitées conformément au Règlement (UE) 2016/679.</w:t>
      </w:r>
    </w:p>
    <w:p w14:paraId="6522DCE5" w14:textId="77777777" w:rsidR="00E32E78" w:rsidRPr="00E32E78" w:rsidRDefault="00E32E78" w:rsidP="00E32E78">
      <w:r w:rsidRPr="00E32E78">
        <w:t>Elles sont utilisées uniquement pour :</w:t>
      </w:r>
    </w:p>
    <w:p w14:paraId="0581183C" w14:textId="77777777" w:rsidR="00E32E78" w:rsidRPr="00E32E78" w:rsidRDefault="00E32E78" w:rsidP="00E32E78">
      <w:pPr>
        <w:numPr>
          <w:ilvl w:val="0"/>
          <w:numId w:val="13"/>
        </w:numPr>
      </w:pPr>
      <w:r w:rsidRPr="00E32E78">
        <w:t>La gestion des commandes</w:t>
      </w:r>
    </w:p>
    <w:p w14:paraId="448B5D82" w14:textId="77777777" w:rsidR="00E32E78" w:rsidRPr="00E32E78" w:rsidRDefault="00E32E78" w:rsidP="00E32E78">
      <w:pPr>
        <w:numPr>
          <w:ilvl w:val="0"/>
          <w:numId w:val="13"/>
        </w:numPr>
      </w:pPr>
      <w:r w:rsidRPr="00E32E78">
        <w:t>La facturation</w:t>
      </w:r>
    </w:p>
    <w:p w14:paraId="318F2868" w14:textId="77777777" w:rsidR="00E32E78" w:rsidRPr="00E32E78" w:rsidRDefault="00E32E78" w:rsidP="00E32E78">
      <w:pPr>
        <w:numPr>
          <w:ilvl w:val="0"/>
          <w:numId w:val="13"/>
        </w:numPr>
      </w:pPr>
      <w:r w:rsidRPr="00E32E78">
        <w:t>La communication relative aux services</w:t>
      </w:r>
    </w:p>
    <w:p w14:paraId="5C0DF200" w14:textId="2E452510" w:rsidR="00E32E78" w:rsidRPr="00E32E78" w:rsidRDefault="00E32E78" w:rsidP="00E32E78">
      <w:r w:rsidRPr="00E32E78">
        <w:t xml:space="preserve">Le </w:t>
      </w:r>
      <w:r w:rsidR="002C0ADB">
        <w:t>Client</w:t>
      </w:r>
      <w:r w:rsidRPr="00E32E78">
        <w:t xml:space="preserve"> dispose d’un droit d’accès, de rectification et de suppression en adressant une demande à </w:t>
      </w:r>
      <w:r w:rsidR="000D445A" w:rsidRPr="00517C30">
        <w:t>mg</w:t>
      </w:r>
      <w:r w:rsidR="00D26AC9" w:rsidRPr="00517C30">
        <w:t>@</w:t>
      </w:r>
      <w:r w:rsidR="000D445A" w:rsidRPr="00517C30">
        <w:t>fleurservicesocial.be</w:t>
      </w:r>
    </w:p>
    <w:p w14:paraId="789C55E9" w14:textId="32C73984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2C0ADB">
        <w:rPr>
          <w:b/>
          <w:bCs/>
        </w:rPr>
        <w:t>6</w:t>
      </w:r>
      <w:r w:rsidRPr="00E32E78">
        <w:rPr>
          <w:b/>
          <w:bCs/>
        </w:rPr>
        <w:t xml:space="preserve"> – Propriété intellectuelle</w:t>
      </w:r>
    </w:p>
    <w:p w14:paraId="2098CA80" w14:textId="77777777" w:rsidR="00E32E78" w:rsidRPr="00E32E78" w:rsidRDefault="00E32E78" w:rsidP="00E32E78">
      <w:r w:rsidRPr="00E32E78">
        <w:t>Les créations originales, concepts décoratifs, designs spécifiques ou éléments artistiques réalisés par l’Atelier restent protégés par le droit d’auteur.</w:t>
      </w:r>
    </w:p>
    <w:p w14:paraId="209D57E9" w14:textId="29ED7EA9" w:rsidR="00E32E78" w:rsidRPr="00E32E78" w:rsidRDefault="00E32E78" w:rsidP="00E32E78">
      <w:r w:rsidRPr="00E32E78">
        <w:t xml:space="preserve">Sauf accord contraire écrit, le </w:t>
      </w:r>
      <w:r w:rsidR="002C0ADB">
        <w:t>Client</w:t>
      </w:r>
      <w:r w:rsidRPr="00E32E78">
        <w:t xml:space="preserve"> ne peut reproduire ou commercialiser les créations originales sans autorisation.</w:t>
      </w:r>
    </w:p>
    <w:p w14:paraId="3B2E8514" w14:textId="46FF6BD8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2C0ADB">
        <w:rPr>
          <w:b/>
          <w:bCs/>
        </w:rPr>
        <w:t>7</w:t>
      </w:r>
      <w:r w:rsidRPr="00E32E78">
        <w:rPr>
          <w:b/>
          <w:bCs/>
        </w:rPr>
        <w:t xml:space="preserve"> – Droit applicable et juridiction compétente</w:t>
      </w:r>
    </w:p>
    <w:p w14:paraId="02B4356C" w14:textId="77777777" w:rsidR="00E32E78" w:rsidRPr="00E32E78" w:rsidRDefault="00E32E78" w:rsidP="00E32E78">
      <w:r w:rsidRPr="00E32E78">
        <w:t>Les présentes CGV sont régies par le droit belge.</w:t>
      </w:r>
    </w:p>
    <w:p w14:paraId="56722BF4" w14:textId="77777777" w:rsidR="00E32E78" w:rsidRPr="00E32E78" w:rsidRDefault="00E32E78" w:rsidP="00E32E78">
      <w:r w:rsidRPr="00E32E78">
        <w:t>En cas de litige :</w:t>
      </w:r>
    </w:p>
    <w:p w14:paraId="750D0090" w14:textId="7E2BB632" w:rsidR="00E32E78" w:rsidRPr="00E32E78" w:rsidRDefault="00E32E78" w:rsidP="00E32E78">
      <w:pPr>
        <w:numPr>
          <w:ilvl w:val="0"/>
          <w:numId w:val="14"/>
        </w:numPr>
      </w:pPr>
      <w:r w:rsidRPr="00E32E78">
        <w:t xml:space="preserve">Avec un </w:t>
      </w:r>
      <w:r w:rsidR="00593AAE">
        <w:t xml:space="preserve">particulier </w:t>
      </w:r>
      <w:r w:rsidRPr="00E32E78">
        <w:t xml:space="preserve">: compétence des tribunaux du siège du </w:t>
      </w:r>
      <w:r w:rsidR="002C0ADB">
        <w:t>Prestataire</w:t>
      </w:r>
      <w:r w:rsidRPr="00E32E78">
        <w:t xml:space="preserve"> conformément au Code de droit économique</w:t>
      </w:r>
    </w:p>
    <w:p w14:paraId="0EDB8BC0" w14:textId="54EA6883" w:rsidR="00E32E78" w:rsidRPr="00E32E78" w:rsidRDefault="00E32E78" w:rsidP="00E32E78">
      <w:pPr>
        <w:numPr>
          <w:ilvl w:val="0"/>
          <w:numId w:val="14"/>
        </w:numPr>
      </w:pPr>
      <w:r w:rsidRPr="00E32E78">
        <w:t xml:space="preserve">Avec un professionnel : compétence exclusive des tribunaux de l’arrondissement du siège du </w:t>
      </w:r>
      <w:r w:rsidR="002C0ADB">
        <w:t>Prestataire</w:t>
      </w:r>
    </w:p>
    <w:p w14:paraId="1934F70D" w14:textId="5440BBD0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2C0ADB">
        <w:rPr>
          <w:b/>
          <w:bCs/>
        </w:rPr>
        <w:t>8</w:t>
      </w:r>
      <w:r w:rsidRPr="00E32E78">
        <w:rPr>
          <w:b/>
          <w:bCs/>
        </w:rPr>
        <w:t xml:space="preserve"> – Signature électronique</w:t>
      </w:r>
    </w:p>
    <w:p w14:paraId="1FF66E3D" w14:textId="77777777" w:rsidR="00E32E78" w:rsidRPr="00E32E78" w:rsidRDefault="00E32E78" w:rsidP="00E32E78">
      <w:r w:rsidRPr="00E32E78">
        <w:t>Les parties reconnaissent la validité juridique des signatures électroniques et des acceptations par voie électronique (email, plateforme numérique, signature digitale), qui ont la même valeur qu’une signature manuscrite.</w:t>
      </w:r>
    </w:p>
    <w:p w14:paraId="4BF27DE4" w14:textId="7A6631D1" w:rsidR="00E32E78" w:rsidRPr="00E32E78" w:rsidRDefault="00E32E78" w:rsidP="00E32E78">
      <w:pPr>
        <w:rPr>
          <w:b/>
          <w:bCs/>
        </w:rPr>
      </w:pPr>
      <w:r w:rsidRPr="00E32E78">
        <w:rPr>
          <w:b/>
          <w:bCs/>
        </w:rPr>
        <w:t>Article 1</w:t>
      </w:r>
      <w:r w:rsidR="002C0ADB">
        <w:rPr>
          <w:b/>
          <w:bCs/>
        </w:rPr>
        <w:t>9</w:t>
      </w:r>
      <w:r w:rsidRPr="00E32E78">
        <w:rPr>
          <w:b/>
          <w:bCs/>
        </w:rPr>
        <w:t xml:space="preserve"> – Acceptation expresse</w:t>
      </w:r>
    </w:p>
    <w:p w14:paraId="30D47CE1" w14:textId="6BC55EE7" w:rsidR="00E32E78" w:rsidRPr="00E32E78" w:rsidRDefault="00E32E78" w:rsidP="00E32E78">
      <w:r w:rsidRPr="00E32E78">
        <w:t xml:space="preserve">Le </w:t>
      </w:r>
      <w:r w:rsidR="002C0ADB">
        <w:t>Client</w:t>
      </w:r>
      <w:r w:rsidRPr="00E32E78">
        <w:t xml:space="preserve"> déclare avoir pris connaissance des présentes Conditions Générales de Vente et les accepter sans réserve avant la conclusion du contrat.</w:t>
      </w:r>
    </w:p>
    <w:p w14:paraId="62C7908A" w14:textId="77777777" w:rsidR="00E32E78" w:rsidRPr="00E32E78" w:rsidRDefault="00E32E78" w:rsidP="00E32E78">
      <w:r w:rsidRPr="00E32E78">
        <w:t>La signature du devis ou le paiement de l’acompte vaut acceptation pleine et entière des présentes CGV.</w:t>
      </w:r>
    </w:p>
    <w:p w14:paraId="30EB0350" w14:textId="2E65C331" w:rsidR="00BE43C9" w:rsidRDefault="00BE43C9"/>
    <w:sectPr w:rsidR="00BE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0377"/>
    <w:multiLevelType w:val="multilevel"/>
    <w:tmpl w:val="4F06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B70C3"/>
    <w:multiLevelType w:val="multilevel"/>
    <w:tmpl w:val="6E7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74663"/>
    <w:multiLevelType w:val="multilevel"/>
    <w:tmpl w:val="1ED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75B07"/>
    <w:multiLevelType w:val="multilevel"/>
    <w:tmpl w:val="EE3E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06100"/>
    <w:multiLevelType w:val="multilevel"/>
    <w:tmpl w:val="2E8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E6E33"/>
    <w:multiLevelType w:val="multilevel"/>
    <w:tmpl w:val="F49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204CB"/>
    <w:multiLevelType w:val="multilevel"/>
    <w:tmpl w:val="1188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B5E83"/>
    <w:multiLevelType w:val="multilevel"/>
    <w:tmpl w:val="203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73A00"/>
    <w:multiLevelType w:val="multilevel"/>
    <w:tmpl w:val="890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05C92"/>
    <w:multiLevelType w:val="multilevel"/>
    <w:tmpl w:val="2764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A538A"/>
    <w:multiLevelType w:val="multilevel"/>
    <w:tmpl w:val="40B2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56B1B"/>
    <w:multiLevelType w:val="multilevel"/>
    <w:tmpl w:val="7D2A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451D2"/>
    <w:multiLevelType w:val="multilevel"/>
    <w:tmpl w:val="7A30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25678"/>
    <w:multiLevelType w:val="multilevel"/>
    <w:tmpl w:val="FEE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47963"/>
    <w:multiLevelType w:val="multilevel"/>
    <w:tmpl w:val="3E8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1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78"/>
    <w:rsid w:val="00097329"/>
    <w:rsid w:val="000C4EEF"/>
    <w:rsid w:val="000D445A"/>
    <w:rsid w:val="0015494D"/>
    <w:rsid w:val="00182AC3"/>
    <w:rsid w:val="002A3A58"/>
    <w:rsid w:val="002C0ADB"/>
    <w:rsid w:val="003613C2"/>
    <w:rsid w:val="00517C30"/>
    <w:rsid w:val="00593AAE"/>
    <w:rsid w:val="00607E62"/>
    <w:rsid w:val="006B643A"/>
    <w:rsid w:val="006D4F49"/>
    <w:rsid w:val="007B0924"/>
    <w:rsid w:val="00A70BF8"/>
    <w:rsid w:val="00B11CC7"/>
    <w:rsid w:val="00B318D4"/>
    <w:rsid w:val="00BE43C9"/>
    <w:rsid w:val="00D26AC9"/>
    <w:rsid w:val="00E32E78"/>
    <w:rsid w:val="00E6315B"/>
    <w:rsid w:val="00ED673B"/>
    <w:rsid w:val="00F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5AF0B2"/>
  <w15:chartTrackingRefBased/>
  <w15:docId w15:val="{43FB838D-C323-4912-B70B-6AAA4CE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43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07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7E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7E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E6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C0A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eurservicesocial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BEC456E67547B9BE51D9AAA160A7" ma:contentTypeVersion="2" ma:contentTypeDescription="Crée un document." ma:contentTypeScope="" ma:versionID="ff1665ca98c25dd81f8e7c2d9e4fcf33">
  <xsd:schema xmlns:xsd="http://www.w3.org/2001/XMLSchema" xmlns:xs="http://www.w3.org/2001/XMLSchema" xmlns:p="http://schemas.microsoft.com/office/2006/metadata/properties" xmlns:ns2="88eac01b-af51-4d36-bdda-24700ab6f5b8" targetNamespace="http://schemas.microsoft.com/office/2006/metadata/properties" ma:root="true" ma:fieldsID="eedb6ed4460dad77b8474f029cc4e36d" ns2:_="">
    <xsd:import namespace="88eac01b-af51-4d36-bdda-24700ab6f5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c01b-af51-4d36-bdda-24700ab6f5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C582F-C6C5-4966-865D-4C98BE5C3979}"/>
</file>

<file path=customXml/itemProps2.xml><?xml version="1.0" encoding="utf-8"?>
<ds:datastoreItem xmlns:ds="http://schemas.openxmlformats.org/officeDocument/2006/customXml" ds:itemID="{7BAD88CD-9606-4BE8-BEF1-92A35040B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BE918-759D-4273-8221-4B82FBE382A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45721a50-77d1-4ee8-ad6c-cee16cf6a35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1386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Vanmeerbeek</dc:creator>
  <cp:keywords/>
  <dc:description/>
  <cp:lastModifiedBy>Erika Lambert</cp:lastModifiedBy>
  <cp:revision>9</cp:revision>
  <dcterms:created xsi:type="dcterms:W3CDTF">2026-02-26T10:56:00Z</dcterms:created>
  <dcterms:modified xsi:type="dcterms:W3CDTF">2026-05-29T11:36:00Z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0x0101008CF6BEC456E67547B9BE51D9AAA160A7</vt:lpwstr>
  </property>
</Properties>
</file>